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FC8C" w14:textId="4D31799D" w:rsidR="00ED4BC0" w:rsidRPr="009D70C7" w:rsidRDefault="00F00CA1" w:rsidP="00942280">
      <w:pPr>
        <w:autoSpaceDE w:val="0"/>
        <w:autoSpaceDN w:val="0"/>
        <w:jc w:val="center"/>
        <w:rPr>
          <w:b/>
          <w:bCs/>
        </w:rPr>
      </w:pPr>
      <w:bookmarkStart w:id="0" w:name="_Hlk117807582"/>
      <w:bookmarkStart w:id="1" w:name="_Toc185953108"/>
      <w:r w:rsidRPr="009D70C7">
        <w:rPr>
          <w:b/>
          <w:bCs/>
        </w:rPr>
        <w:t xml:space="preserve">MODELO DE CONTRATO DE EJECUCIÓN DE </w:t>
      </w:r>
      <w:r w:rsidR="00ED4BC0" w:rsidRPr="009D70C7">
        <w:rPr>
          <w:b/>
          <w:bCs/>
        </w:rPr>
        <w:t>OBRA</w:t>
      </w:r>
    </w:p>
    <w:bookmarkEnd w:id="0"/>
    <w:p w14:paraId="409510FA" w14:textId="77777777" w:rsidR="00ED4BC0" w:rsidRPr="009D70C7" w:rsidRDefault="00ED4BC0" w:rsidP="00942280">
      <w:pPr>
        <w:autoSpaceDE w:val="0"/>
        <w:autoSpaceDN w:val="0"/>
        <w:jc w:val="center"/>
        <w:rPr>
          <w:b/>
          <w:bCs/>
          <w:color w:val="990000"/>
        </w:rPr>
      </w:pPr>
    </w:p>
    <w:p w14:paraId="31B91C2A" w14:textId="77777777" w:rsidR="00ED4BC0" w:rsidRPr="009D70C7" w:rsidRDefault="00ED4BC0" w:rsidP="00942280">
      <w:pPr>
        <w:rPr>
          <w:b/>
          <w:bCs/>
        </w:rPr>
      </w:pPr>
      <w:r w:rsidRPr="009D70C7">
        <w:rPr>
          <w:b/>
          <w:bCs/>
        </w:rPr>
        <w:t>Instrucciones y orientaciones para completar este documento estándar</w:t>
      </w:r>
    </w:p>
    <w:p w14:paraId="257A4CD4" w14:textId="77777777" w:rsidR="00ED4BC0" w:rsidRPr="009D70C7" w:rsidRDefault="00ED4BC0" w:rsidP="00942280">
      <w:pPr>
        <w:rPr>
          <w:b/>
          <w:bCs/>
          <w:color w:val="990000"/>
        </w:rPr>
      </w:pPr>
    </w:p>
    <w:p w14:paraId="5FE22520" w14:textId="77777777" w:rsidR="00ED4BC0" w:rsidRPr="009D70C7" w:rsidRDefault="00ED4BC0" w:rsidP="00942280">
      <w:pPr>
        <w:pBdr>
          <w:top w:val="nil"/>
          <w:left w:val="nil"/>
          <w:bottom w:val="nil"/>
          <w:right w:val="nil"/>
          <w:between w:val="nil"/>
        </w:pBdr>
        <w:jc w:val="both"/>
        <w:rPr>
          <w:color w:val="000000"/>
        </w:rPr>
      </w:pPr>
      <w:r w:rsidRPr="009D70C7">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9D70C7">
        <w:rPr>
          <w:color w:val="000000"/>
        </w:rPr>
        <w:t xml:space="preserve">artículo 82 </w:t>
      </w:r>
      <w:bookmarkStart w:id="2" w:name="_Hlk116846264"/>
      <w:r w:rsidRPr="009D70C7">
        <w:rPr>
          <w:color w:val="000000"/>
        </w:rPr>
        <w:t xml:space="preserve">de Reglamento de Aplicación de la Ley núm. 340-06, aprobado mediante el Decreto núm. 416-23, en lo adelante el Reglamento o </w:t>
      </w:r>
      <w:bookmarkEnd w:id="2"/>
      <w:r w:rsidRPr="009D70C7">
        <w:rPr>
          <w:color w:val="000000"/>
        </w:rPr>
        <w:t>por su nombre completo, elaborar y aprobar los modelos estándar de pliegos de condiciones, así como también los formularios tipo y complementarios de la compra o contratación.</w:t>
      </w:r>
    </w:p>
    <w:p w14:paraId="01B71ABD" w14:textId="77777777" w:rsidR="00ED4BC0" w:rsidRPr="009D70C7" w:rsidRDefault="00ED4BC0" w:rsidP="00942280">
      <w:pPr>
        <w:pBdr>
          <w:top w:val="nil"/>
          <w:left w:val="nil"/>
          <w:bottom w:val="nil"/>
          <w:right w:val="nil"/>
          <w:between w:val="nil"/>
        </w:pBdr>
        <w:ind w:left="1190" w:hanging="360"/>
        <w:jc w:val="both"/>
        <w:rPr>
          <w:color w:val="000000"/>
        </w:rPr>
      </w:pPr>
    </w:p>
    <w:p w14:paraId="76692805" w14:textId="77777777" w:rsidR="002F2E7D" w:rsidRPr="009D70C7" w:rsidRDefault="00ED4BC0" w:rsidP="00942280">
      <w:pPr>
        <w:pBdr>
          <w:top w:val="nil"/>
          <w:left w:val="nil"/>
          <w:bottom w:val="nil"/>
          <w:right w:val="nil"/>
          <w:between w:val="nil"/>
        </w:pBdr>
        <w:jc w:val="both"/>
        <w:rPr>
          <w:color w:val="000000"/>
        </w:rPr>
      </w:pPr>
      <w:r w:rsidRPr="009D70C7">
        <w:rPr>
          <w:color w:val="000000"/>
        </w:rPr>
        <w:t xml:space="preserve">En el ejercicio de dicha función, la DGCP emite el presente </w:t>
      </w:r>
      <w:r w:rsidR="004E1F58" w:rsidRPr="009D70C7">
        <w:rPr>
          <w:color w:val="000000"/>
        </w:rPr>
        <w:t>modelo de contrato</w:t>
      </w:r>
      <w:r w:rsidRPr="009D70C7">
        <w:rPr>
          <w:color w:val="000000"/>
        </w:rPr>
        <w:t xml:space="preserve"> estándar con el objetivo de homologar el contenido general que deben tener los mismos y armonizar su estructura, así como las condiciones y requisitos que </w:t>
      </w:r>
      <w:r w:rsidR="004E1F58" w:rsidRPr="009D70C7">
        <w:rPr>
          <w:color w:val="000000"/>
        </w:rPr>
        <w:t>exige la normativa que rige el SNCCP.</w:t>
      </w:r>
      <w:r w:rsidR="00AA5900" w:rsidRPr="009D70C7">
        <w:rPr>
          <w:color w:val="000000"/>
        </w:rPr>
        <w:t xml:space="preserve"> </w:t>
      </w:r>
    </w:p>
    <w:p w14:paraId="6B09ABFB" w14:textId="77777777" w:rsidR="002F2E7D" w:rsidRPr="009D70C7" w:rsidRDefault="002F2E7D" w:rsidP="00942280">
      <w:pPr>
        <w:pBdr>
          <w:top w:val="nil"/>
          <w:left w:val="nil"/>
          <w:bottom w:val="nil"/>
          <w:right w:val="nil"/>
          <w:between w:val="nil"/>
        </w:pBdr>
        <w:jc w:val="both"/>
        <w:rPr>
          <w:color w:val="000000"/>
        </w:rPr>
      </w:pPr>
    </w:p>
    <w:p w14:paraId="68897D87" w14:textId="54355708" w:rsidR="00ED4BC0" w:rsidRPr="009D70C7" w:rsidRDefault="00AA5900" w:rsidP="00942280">
      <w:pPr>
        <w:pBdr>
          <w:top w:val="nil"/>
          <w:left w:val="nil"/>
          <w:bottom w:val="nil"/>
          <w:right w:val="nil"/>
          <w:between w:val="nil"/>
        </w:pBdr>
        <w:jc w:val="both"/>
        <w:rPr>
          <w:color w:val="000000"/>
        </w:rPr>
      </w:pPr>
      <w:r w:rsidRPr="009D70C7">
        <w:rPr>
          <w:color w:val="000000"/>
        </w:rPr>
        <w:t xml:space="preserve">Este modelo de contrato, debidamente completado con las informaciones </w:t>
      </w:r>
      <w:r w:rsidR="00425D1B" w:rsidRPr="009D70C7">
        <w:rPr>
          <w:color w:val="000000"/>
        </w:rPr>
        <w:t>genéricas del objeto concreto, debe formar</w:t>
      </w:r>
      <w:r w:rsidR="00EC059E" w:rsidRPr="009D70C7">
        <w:rPr>
          <w:color w:val="000000"/>
        </w:rPr>
        <w:t xml:space="preserve"> parte del pliego de condiciones</w:t>
      </w:r>
      <w:r w:rsidR="00261FBE" w:rsidRPr="009D70C7">
        <w:rPr>
          <w:color w:val="000000"/>
        </w:rPr>
        <w:t>, por disposición del artículo 27 de la Ley núm. 340-06</w:t>
      </w:r>
      <w:r w:rsidR="00241A28" w:rsidRPr="009D70C7">
        <w:rPr>
          <w:color w:val="000000"/>
        </w:rPr>
        <w:t xml:space="preserve"> </w:t>
      </w:r>
      <w:r w:rsidR="00261FBE" w:rsidRPr="009D70C7">
        <w:rPr>
          <w:color w:val="000000"/>
        </w:rPr>
        <w:t xml:space="preserve">para que </w:t>
      </w:r>
      <w:r w:rsidR="00EC059E" w:rsidRPr="009D70C7">
        <w:rPr>
          <w:color w:val="000000"/>
        </w:rPr>
        <w:t xml:space="preserve">los interesados y </w:t>
      </w:r>
      <w:r w:rsidR="002C2E00" w:rsidRPr="009D70C7">
        <w:rPr>
          <w:color w:val="000000"/>
        </w:rPr>
        <w:t xml:space="preserve">oferentes </w:t>
      </w:r>
      <w:r w:rsidR="00241A28" w:rsidRPr="009D70C7">
        <w:rPr>
          <w:color w:val="000000"/>
        </w:rPr>
        <w:t xml:space="preserve">tengan acceso y puedan decidir si participan y presentan sus </w:t>
      </w:r>
      <w:r w:rsidR="00EC059E" w:rsidRPr="009D70C7">
        <w:rPr>
          <w:color w:val="000000"/>
        </w:rPr>
        <w:t>ofertas</w:t>
      </w:r>
      <w:r w:rsidR="00241A28" w:rsidRPr="009D70C7">
        <w:rPr>
          <w:color w:val="000000"/>
        </w:rPr>
        <w:t xml:space="preserve"> con toda la información relevante</w:t>
      </w:r>
      <w:r w:rsidR="00EC059E" w:rsidRPr="009D70C7">
        <w:rPr>
          <w:color w:val="000000"/>
        </w:rPr>
        <w:t>.</w:t>
      </w:r>
    </w:p>
    <w:p w14:paraId="0E431519" w14:textId="77777777" w:rsidR="002F2E7D" w:rsidRPr="009D70C7" w:rsidRDefault="002F2E7D" w:rsidP="00942280">
      <w:pPr>
        <w:pBdr>
          <w:top w:val="nil"/>
          <w:left w:val="nil"/>
          <w:bottom w:val="nil"/>
          <w:right w:val="nil"/>
          <w:between w:val="nil"/>
        </w:pBdr>
        <w:jc w:val="both"/>
        <w:rPr>
          <w:color w:val="000000"/>
        </w:rPr>
      </w:pPr>
    </w:p>
    <w:p w14:paraId="001C611E" w14:textId="77777777" w:rsidR="002F2E7D" w:rsidRPr="009D70C7" w:rsidRDefault="002F2E7D" w:rsidP="00942280">
      <w:pPr>
        <w:pBdr>
          <w:top w:val="nil"/>
          <w:left w:val="nil"/>
          <w:bottom w:val="nil"/>
          <w:right w:val="nil"/>
          <w:between w:val="nil"/>
        </w:pBdr>
        <w:jc w:val="both"/>
      </w:pPr>
      <w:r w:rsidRPr="009D70C7">
        <w:t>Los contratos deben establecer con claridad y precisión las condiciones para su ejecución expresadas en las cláusulas que definan los derechos, obligaciones y responsabilidades de las partes.</w:t>
      </w:r>
    </w:p>
    <w:p w14:paraId="73C08709" w14:textId="77777777" w:rsidR="0056308B" w:rsidRPr="009D70C7" w:rsidRDefault="0056308B" w:rsidP="00942280">
      <w:pPr>
        <w:pBdr>
          <w:top w:val="nil"/>
          <w:left w:val="nil"/>
          <w:bottom w:val="nil"/>
          <w:right w:val="nil"/>
          <w:between w:val="nil"/>
        </w:pBdr>
        <w:jc w:val="both"/>
      </w:pPr>
    </w:p>
    <w:p w14:paraId="33D1DA48" w14:textId="34B4FDBA" w:rsidR="0056308B" w:rsidRPr="009D70C7" w:rsidRDefault="0056308B" w:rsidP="00942280">
      <w:pPr>
        <w:widowControl w:val="0"/>
        <w:contextualSpacing/>
        <w:jc w:val="both"/>
      </w:pPr>
      <w:r w:rsidRPr="009D70C7">
        <w:t xml:space="preserve">Dependiendo del objeto, alcance y naturaleza del contrato, puede incluirse cláusulas adicionales </w:t>
      </w:r>
      <w:r w:rsidR="000E0934" w:rsidRPr="009D70C7">
        <w:t>a</w:t>
      </w:r>
      <w:r w:rsidRPr="009D70C7">
        <w:t xml:space="preserve"> las propuestas en el presente documento, las que en ningún caso pueden contemplar disposiciones contrarias a la normativa vigente ni a lo señalado </w:t>
      </w:r>
      <w:r w:rsidR="000E0934" w:rsidRPr="009D70C7">
        <w:t>en e</w:t>
      </w:r>
      <w:r w:rsidR="00CF60BA" w:rsidRPr="009D70C7">
        <w:t>ste</w:t>
      </w:r>
      <w:r w:rsidR="000E0934" w:rsidRPr="009D70C7">
        <w:t xml:space="preserve"> modelo de contrato estándar.</w:t>
      </w:r>
    </w:p>
    <w:p w14:paraId="4F380984" w14:textId="77777777" w:rsidR="0056308B" w:rsidRPr="009D70C7" w:rsidRDefault="0056308B" w:rsidP="00942280">
      <w:pPr>
        <w:pBdr>
          <w:top w:val="nil"/>
          <w:left w:val="nil"/>
          <w:bottom w:val="nil"/>
          <w:right w:val="nil"/>
          <w:between w:val="nil"/>
        </w:pBdr>
        <w:jc w:val="both"/>
        <w:rPr>
          <w:color w:val="000000"/>
        </w:rPr>
      </w:pPr>
    </w:p>
    <w:p w14:paraId="3C60967C" w14:textId="77777777" w:rsidR="00ED4BC0" w:rsidRPr="009D70C7" w:rsidRDefault="00ED4BC0" w:rsidP="00942280">
      <w:pPr>
        <w:jc w:val="both"/>
      </w:pPr>
      <w:r w:rsidRPr="009D70C7">
        <w:rPr>
          <w:bCs/>
        </w:rPr>
        <w:t>La leyenda de colores</w:t>
      </w:r>
      <w:r w:rsidRPr="009D70C7">
        <w:rPr>
          <w:b/>
        </w:rPr>
        <w:t xml:space="preserve"> </w:t>
      </w:r>
      <w:r w:rsidRPr="009D70C7">
        <w:t>de este modelo es la siguiente:</w:t>
      </w:r>
    </w:p>
    <w:p w14:paraId="6079F32E" w14:textId="77777777" w:rsidR="00ED4BC0" w:rsidRPr="009D70C7" w:rsidRDefault="00ED4BC0" w:rsidP="00942280">
      <w:pPr>
        <w:ind w:left="360"/>
        <w:jc w:val="both"/>
      </w:pPr>
    </w:p>
    <w:p w14:paraId="41730746" w14:textId="2C40DFFA" w:rsidR="00ED4BC0" w:rsidRPr="009D70C7" w:rsidRDefault="00ED4BC0" w:rsidP="00942280">
      <w:pPr>
        <w:ind w:left="360"/>
        <w:jc w:val="both"/>
      </w:pPr>
      <w:bookmarkStart w:id="3" w:name="_Hlk151410371"/>
      <w:r w:rsidRPr="009D70C7">
        <w:rPr>
          <w:b/>
          <w:bCs/>
        </w:rPr>
        <w:t>Negro</w:t>
      </w:r>
      <w:r w:rsidRPr="009D70C7">
        <w:t xml:space="preserve"> - </w:t>
      </w:r>
      <w:r w:rsidR="00E32E99" w:rsidRPr="009D70C7">
        <w:t>Indicaciones que no pueden ser eliminadas, modificadas ni sustituidas porque es</w:t>
      </w:r>
      <w:r w:rsidR="00970D8B" w:rsidRPr="009D70C7">
        <w:t xml:space="preserve"> </w:t>
      </w:r>
      <w:r w:rsidR="00E32E99" w:rsidRPr="009D70C7">
        <w:t>lenguaje</w:t>
      </w:r>
      <w:r w:rsidRPr="009D70C7">
        <w:t xml:space="preserv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r w:rsidR="0056308B" w:rsidRPr="009D70C7">
        <w:t>.</w:t>
      </w:r>
    </w:p>
    <w:p w14:paraId="74EAE0EB" w14:textId="77777777" w:rsidR="00ED4BC0" w:rsidRPr="009D70C7" w:rsidRDefault="00ED4BC0" w:rsidP="00942280">
      <w:pPr>
        <w:ind w:left="360"/>
        <w:jc w:val="both"/>
      </w:pPr>
    </w:p>
    <w:p w14:paraId="71C38510" w14:textId="445BDA53" w:rsidR="00ED4BC0" w:rsidRPr="009D70C7" w:rsidRDefault="00ED4BC0" w:rsidP="00942280">
      <w:pPr>
        <w:ind w:left="360"/>
        <w:jc w:val="both"/>
        <w:rPr>
          <w:b/>
          <w:bCs/>
          <w:color w:val="990000"/>
        </w:rPr>
      </w:pPr>
      <w:r w:rsidRPr="009D70C7">
        <w:rPr>
          <w:b/>
          <w:bCs/>
          <w:color w:val="990000"/>
        </w:rPr>
        <w:t xml:space="preserve">Rojo - Indica información </w:t>
      </w:r>
      <w:r w:rsidR="009F3ECA" w:rsidRPr="009D70C7">
        <w:rPr>
          <w:b/>
          <w:bCs/>
          <w:color w:val="990000"/>
        </w:rPr>
        <w:t xml:space="preserve">particular </w:t>
      </w:r>
      <w:r w:rsidR="005117A0" w:rsidRPr="009D70C7">
        <w:rPr>
          <w:b/>
          <w:bCs/>
          <w:color w:val="990000"/>
        </w:rPr>
        <w:t xml:space="preserve">del pliego, oferta, especificaciones técnicas o cualquier otra documentación del caso concreto </w:t>
      </w:r>
      <w:r w:rsidRPr="009D70C7">
        <w:rPr>
          <w:b/>
          <w:bCs/>
          <w:color w:val="990000"/>
        </w:rPr>
        <w:t>que debe ser incorporada</w:t>
      </w:r>
      <w:r w:rsidR="005117A0" w:rsidRPr="009D70C7">
        <w:rPr>
          <w:b/>
          <w:bCs/>
          <w:color w:val="990000"/>
        </w:rPr>
        <w:t xml:space="preserve"> al contrato</w:t>
      </w:r>
      <w:r w:rsidR="000E0934" w:rsidRPr="009D70C7">
        <w:rPr>
          <w:b/>
          <w:bCs/>
          <w:color w:val="990000"/>
        </w:rPr>
        <w:t>.</w:t>
      </w:r>
    </w:p>
    <w:p w14:paraId="74D4B404" w14:textId="77777777" w:rsidR="00ED4BC0" w:rsidRPr="009D70C7" w:rsidRDefault="00ED4BC0" w:rsidP="00942280">
      <w:pPr>
        <w:ind w:left="360"/>
        <w:jc w:val="both"/>
        <w:rPr>
          <w:color w:val="0000FF"/>
        </w:rPr>
      </w:pPr>
    </w:p>
    <w:p w14:paraId="1F0AEB60" w14:textId="38922AAF" w:rsidR="00ED4BC0" w:rsidRPr="009D70C7" w:rsidRDefault="00ED4BC0" w:rsidP="00942280">
      <w:pPr>
        <w:ind w:left="360"/>
        <w:jc w:val="both"/>
        <w:rPr>
          <w:b/>
          <w:bCs/>
          <w:color w:val="0000FF"/>
          <w:lang w:eastAsia="en-US"/>
        </w:rPr>
      </w:pPr>
      <w:r w:rsidRPr="009D70C7">
        <w:rPr>
          <w:b/>
          <w:bCs/>
          <w:color w:val="0000FF"/>
          <w:lang w:eastAsia="en-US"/>
        </w:rPr>
        <w:t xml:space="preserve">Azul – Ejemplo </w:t>
      </w:r>
      <w:r w:rsidR="009F3ECA" w:rsidRPr="009D70C7">
        <w:rPr>
          <w:b/>
          <w:bCs/>
          <w:color w:val="0000FF"/>
          <w:lang w:eastAsia="en-US"/>
        </w:rPr>
        <w:t xml:space="preserve">orientativo </w:t>
      </w:r>
      <w:r w:rsidRPr="009D70C7">
        <w:rPr>
          <w:b/>
          <w:bCs/>
          <w:color w:val="0000FF"/>
          <w:lang w:eastAsia="en-US"/>
        </w:rPr>
        <w:t>de</w:t>
      </w:r>
      <w:r w:rsidRPr="009D70C7">
        <w:rPr>
          <w:b/>
          <w:bCs/>
          <w:color w:val="538135" w:themeColor="accent6" w:themeShade="BF"/>
        </w:rPr>
        <w:t xml:space="preserve"> </w:t>
      </w:r>
      <w:r w:rsidRPr="009D70C7">
        <w:rPr>
          <w:b/>
          <w:bCs/>
          <w:color w:val="0000FF"/>
          <w:lang w:eastAsia="en-US"/>
        </w:rPr>
        <w:t>redacción</w:t>
      </w:r>
      <w:r w:rsidR="009F3ECA" w:rsidRPr="009D70C7">
        <w:rPr>
          <w:b/>
          <w:bCs/>
          <w:color w:val="0000FF"/>
          <w:lang w:eastAsia="en-US"/>
        </w:rPr>
        <w:t xml:space="preserve">. </w:t>
      </w:r>
    </w:p>
    <w:p w14:paraId="00F48756" w14:textId="77777777" w:rsidR="00ED4BC0" w:rsidRPr="009D70C7" w:rsidRDefault="00ED4BC0" w:rsidP="00942280">
      <w:pPr>
        <w:ind w:left="360"/>
        <w:jc w:val="both"/>
        <w:rPr>
          <w:color w:val="538135" w:themeColor="accent6" w:themeShade="BF"/>
        </w:rPr>
      </w:pPr>
    </w:p>
    <w:p w14:paraId="3FF8B054" w14:textId="053E14CD" w:rsidR="00ED4BC0" w:rsidRPr="009D70C7" w:rsidRDefault="00ED4BC0" w:rsidP="00942280">
      <w:pPr>
        <w:ind w:left="360"/>
        <w:jc w:val="both"/>
        <w:rPr>
          <w:b/>
          <w:bCs/>
          <w:color w:val="00B050"/>
        </w:rPr>
      </w:pPr>
      <w:r w:rsidRPr="009D70C7">
        <w:rPr>
          <w:b/>
          <w:bCs/>
          <w:color w:val="00B050"/>
        </w:rPr>
        <w:t xml:space="preserve">Verde – Notas aclaratorias para orientar sobre cómo complementar </w:t>
      </w:r>
      <w:r w:rsidR="000E0934" w:rsidRPr="009D70C7">
        <w:rPr>
          <w:b/>
          <w:bCs/>
          <w:color w:val="00B050"/>
        </w:rPr>
        <w:t>este modelo de pliego</w:t>
      </w:r>
      <w:r w:rsidRPr="009D70C7">
        <w:rPr>
          <w:b/>
          <w:bCs/>
          <w:color w:val="00B050"/>
        </w:rPr>
        <w:t>. Deben ser eliminadas una vez consideradas por</w:t>
      </w:r>
      <w:r w:rsidR="00C12617">
        <w:rPr>
          <w:b/>
          <w:bCs/>
          <w:color w:val="00B050"/>
        </w:rPr>
        <w:t xml:space="preserve"> la</w:t>
      </w:r>
      <w:r w:rsidRPr="009D70C7">
        <w:rPr>
          <w:b/>
          <w:bCs/>
          <w:color w:val="00B050"/>
        </w:rPr>
        <w:t xml:space="preserve"> institución contratante.</w:t>
      </w:r>
    </w:p>
    <w:bookmarkEnd w:id="3"/>
    <w:p w14:paraId="43E107F2" w14:textId="77777777" w:rsidR="00ED4BC0" w:rsidRPr="009D70C7" w:rsidRDefault="00ED4BC0" w:rsidP="00942280">
      <w:pPr>
        <w:jc w:val="center"/>
        <w:rPr>
          <w:b/>
          <w:bCs/>
          <w:color w:val="990000"/>
        </w:rPr>
      </w:pPr>
      <w:r w:rsidRPr="009D70C7">
        <w:rPr>
          <w:b/>
          <w:bCs/>
          <w:color w:val="990000"/>
        </w:rPr>
        <w:t xml:space="preserve">ELIMINE ESTAS PÁGINAS DE INSTRUCCIONES </w:t>
      </w:r>
    </w:p>
    <w:p w14:paraId="2644258E" w14:textId="214A3334" w:rsidR="00F00CA1" w:rsidRPr="009D70C7" w:rsidRDefault="00ED4BC0" w:rsidP="00942280">
      <w:pPr>
        <w:jc w:val="center"/>
      </w:pPr>
      <w:r w:rsidRPr="009D70C7">
        <w:rPr>
          <w:b/>
          <w:bCs/>
          <w:color w:val="990000"/>
        </w:rPr>
        <w:t xml:space="preserve">CUANDO </w:t>
      </w:r>
      <w:r w:rsidR="006733A3" w:rsidRPr="009D70C7">
        <w:rPr>
          <w:b/>
          <w:bCs/>
          <w:color w:val="990000"/>
        </w:rPr>
        <w:t>EL MODELO DE CONTRATO SE HAYA AJUSTADO</w:t>
      </w:r>
    </w:p>
    <w:p w14:paraId="06ADB948" w14:textId="244C9867" w:rsidR="00F00CA1" w:rsidRPr="009D70C7" w:rsidRDefault="00F00CA1" w:rsidP="00942280">
      <w:pPr>
        <w:pStyle w:val="TDC1"/>
        <w:rPr>
          <w:bCs/>
          <w:color w:val="C00000"/>
        </w:rPr>
      </w:pPr>
      <w:r w:rsidRPr="009D70C7">
        <w:lastRenderedPageBreak/>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4"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Refdenotaalpi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5"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4"/>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6" w:name="_Toc152273968"/>
      <w:bookmarkEnd w:id="5"/>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7" w:name="_Hlk158627602"/>
      <w:r w:rsidRPr="009D70C7">
        <w:rPr>
          <w:b/>
          <w:bCs/>
        </w:rPr>
        <w:t xml:space="preserve">Artículo </w:t>
      </w:r>
      <w:bookmarkEnd w:id="7"/>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w:t>
      </w:r>
      <w:proofErr w:type="gramStart"/>
      <w:r w:rsidRPr="009D70C7">
        <w:t>de acuerdo al</w:t>
      </w:r>
      <w:proofErr w:type="gramEnd"/>
      <w:r w:rsidRPr="009D70C7">
        <w:t xml:space="preserve">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8" w:name="_Hlk152380669"/>
      <w:r w:rsidRPr="009D70C7">
        <w:t>supervisor</w:t>
      </w:r>
      <w:r w:rsidR="00F94C4E" w:rsidRPr="009D70C7">
        <w:t xml:space="preserve"> o </w:t>
      </w:r>
      <w:r w:rsidRPr="009D70C7">
        <w:t>responsable del contrato</w:t>
      </w:r>
      <w:bookmarkEnd w:id="8"/>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proofErr w:type="gramStart"/>
      <w:r w:rsidRPr="009D70C7">
        <w:t>Contratista,</w:t>
      </w:r>
      <w:proofErr w:type="gramEnd"/>
      <w:r w:rsidRPr="009D70C7">
        <w:t xml:space="preserve">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w:t>
      </w:r>
      <w:proofErr w:type="gramStart"/>
      <w:r w:rsidR="001C1F54" w:rsidRPr="009D70C7">
        <w:t>del mismo</w:t>
      </w:r>
      <w:proofErr w:type="gramEnd"/>
      <w:r w:rsidR="001C1F54" w:rsidRPr="009D70C7">
        <w:t xml:space="preserve">,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w:t>
      </w:r>
      <w:proofErr w:type="gramStart"/>
      <w:r w:rsidR="003A6640" w:rsidRPr="009D70C7">
        <w:t>del mismo</w:t>
      </w:r>
      <w:proofErr w:type="gramEnd"/>
      <w:r w:rsidR="003A6640" w:rsidRPr="009D70C7">
        <w:t xml:space="preserve">,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 xml:space="preserve">LA INSTITUCIÓN </w:t>
      </w:r>
      <w:proofErr w:type="gramStart"/>
      <w:r w:rsidR="00F770CF" w:rsidRPr="009D70C7">
        <w:rPr>
          <w:b/>
          <w:bCs/>
        </w:rPr>
        <w:t>CONTRATANTE</w:t>
      </w:r>
      <w:r w:rsidR="00D61175" w:rsidRPr="009D70C7">
        <w:t>,</w:t>
      </w:r>
      <w:proofErr w:type="gramEnd"/>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w:t>
      </w:r>
      <w:proofErr w:type="gramStart"/>
      <w:r w:rsidR="00F012BE" w:rsidRPr="009D70C7">
        <w:t>obra,</w:t>
      </w:r>
      <w:proofErr w:type="gramEnd"/>
      <w:r w:rsidR="00F012BE" w:rsidRPr="009D70C7">
        <w:t xml:space="preserve">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w:t>
      </w:r>
      <w:proofErr w:type="gramStart"/>
      <w:r w:rsidR="00AE41C4" w:rsidRPr="009D70C7">
        <w:rPr>
          <w:bCs/>
        </w:rPr>
        <w:t>la misma</w:t>
      </w:r>
      <w:proofErr w:type="gramEnd"/>
      <w:r w:rsidR="00AE41C4" w:rsidRPr="009D70C7">
        <w:rPr>
          <w:bCs/>
        </w:rPr>
        <w:t xml:space="preserve">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proofErr w:type="gramStart"/>
      <w:r w:rsidR="007A1EFF" w:rsidRPr="009D70C7">
        <w:rPr>
          <w:rFonts w:eastAsiaTheme="minorHAnsi"/>
          <w:b/>
          <w:bCs/>
          <w:color w:val="00B050"/>
          <w:lang w:eastAsia="en-US"/>
        </w:rPr>
        <w:t>de acuerdo a</w:t>
      </w:r>
      <w:proofErr w:type="gramEnd"/>
      <w:r w:rsidR="007A1EFF" w:rsidRPr="009D70C7">
        <w:rPr>
          <w:rFonts w:eastAsiaTheme="minorHAnsi"/>
          <w:b/>
          <w:bCs/>
          <w:color w:val="00B050"/>
          <w:lang w:eastAsia="en-US"/>
        </w:rPr>
        <w:t xml:space="preserve">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 xml:space="preserve">protección del medio ambiente y de propiedades y bienes de terceros que puedan ser afectados por razón de los trabajos durante la ejecución de </w:t>
      </w:r>
      <w:proofErr w:type="gramStart"/>
      <w:r w:rsidR="002A412E" w:rsidRPr="009D70C7">
        <w:rPr>
          <w:color w:val="0000FF"/>
        </w:rPr>
        <w:t>los mismos</w:t>
      </w:r>
      <w:proofErr w:type="gramEnd"/>
      <w:r w:rsidR="002A412E" w:rsidRPr="009D70C7">
        <w:rPr>
          <w:color w:val="0000FF"/>
        </w:rPr>
        <w:t>,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 xml:space="preserve">Todas las personas involucradas con el proyecto y los </w:t>
      </w:r>
      <w:proofErr w:type="gramStart"/>
      <w:r w:rsidR="00CD5625" w:rsidRPr="009D70C7">
        <w:t>trabajos,</w:t>
      </w:r>
      <w:proofErr w:type="gramEnd"/>
      <w:r w:rsidR="00CD5625" w:rsidRPr="009D70C7">
        <w:t xml:space="preserve">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w:t>
      </w:r>
      <w:proofErr w:type="gramStart"/>
      <w:r w:rsidRPr="009D70C7">
        <w:t>los mismos</w:t>
      </w:r>
      <w:proofErr w:type="gramEnd"/>
      <w:r w:rsidRPr="009D70C7">
        <w:t xml:space="preserve">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9"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10"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10"/>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9"/>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11" w:name="_Hlk152546949"/>
      <w:r w:rsidRPr="009D70C7">
        <w:rPr>
          <w:color w:val="000000"/>
        </w:rPr>
        <w:t>director responsable de obra</w:t>
      </w:r>
      <w:bookmarkEnd w:id="11"/>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anteriores, las deducciones, el porcentaje de terminación aproximado y las sumas que se pagarán </w:t>
      </w:r>
      <w:proofErr w:type="gramStart"/>
      <w:r w:rsidRPr="009D70C7">
        <w:t>de acuerdo a</w:t>
      </w:r>
      <w:proofErr w:type="gramEnd"/>
      <w:r w:rsidRPr="009D70C7">
        <w:t xml:space="preserve"> la lista de partidas</w:t>
      </w:r>
      <w:r w:rsidRPr="009D70C7">
        <w:rPr>
          <w:rStyle w:val="Refdenotaalpi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2"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2"/>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1C1F54" w:rsidRPr="009D70C7">
        <w:t>en relación al</w:t>
      </w:r>
      <w:proofErr w:type="gramEnd"/>
      <w:r w:rsidR="001C1F54" w:rsidRPr="009D70C7">
        <w:t xml:space="preserve">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anticipación al vencimiento del plazo, de no hacerlo, se considerará que ha renunciado a su derecho </w:t>
      </w:r>
      <w:proofErr w:type="gramStart"/>
      <w:r w:rsidRPr="009D70C7">
        <w:t>en relación a</w:t>
      </w:r>
      <w:proofErr w:type="gramEnd"/>
      <w:r w:rsidRPr="009D70C7">
        <w:t xml:space="preserve">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w:t>
      </w:r>
      <w:proofErr w:type="gramStart"/>
      <w:r w:rsidR="00EB672D" w:rsidRPr="009D70C7">
        <w:t>contrato,</w:t>
      </w:r>
      <w:proofErr w:type="gramEnd"/>
      <w:r w:rsidR="00EB672D" w:rsidRPr="009D70C7">
        <w:t xml:space="preserve">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w:t>
      </w:r>
      <w:proofErr w:type="gramStart"/>
      <w:r w:rsidRPr="009D70C7">
        <w:t>de acuerdo a</w:t>
      </w:r>
      <w:proofErr w:type="gramEnd"/>
      <w:r w:rsidRPr="009D70C7">
        <w:t xml:space="preserve">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3" w:name="_Toc185236386"/>
      <w:bookmarkStart w:id="14" w:name="_Toc185951531"/>
      <w:bookmarkStart w:id="15" w:name="_Toc192019928"/>
      <w:bookmarkStart w:id="16" w:name="_Toc193182274"/>
      <w:bookmarkStart w:id="17"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Refdenotaalpi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Refdenotaalpi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3"/>
    <w:bookmarkEnd w:id="14"/>
    <w:bookmarkEnd w:id="15"/>
    <w:bookmarkEnd w:id="16"/>
    <w:bookmarkEnd w:id="17"/>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w:t>
      </w:r>
      <w:proofErr w:type="gramStart"/>
      <w:r w:rsidR="008A68B2" w:rsidRPr="009D70C7">
        <w:rPr>
          <w:color w:val="0000FF"/>
        </w:rPr>
        <w:t>la misma</w:t>
      </w:r>
      <w:proofErr w:type="gramEnd"/>
      <w:r w:rsidR="008A68B2" w:rsidRPr="009D70C7">
        <w:rPr>
          <w:color w:val="0000FF"/>
        </w:rPr>
        <w:t xml:space="preserve">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w:t>
      </w:r>
      <w:proofErr w:type="gramStart"/>
      <w:r w:rsidR="00EC10C8" w:rsidRPr="009D70C7">
        <w:t>los mismos</w:t>
      </w:r>
      <w:proofErr w:type="gramEnd"/>
      <w:r w:rsidR="00EC10C8" w:rsidRPr="009D70C7">
        <w:t xml:space="preserve">.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proofErr w:type="spellStart"/>
      <w:r w:rsidR="00EC10C8" w:rsidRPr="009D70C7">
        <w:rPr>
          <w:b/>
          <w:bCs/>
        </w:rPr>
        <w:t>ii</w:t>
      </w:r>
      <w:proofErr w:type="spellEnd"/>
      <w:r w:rsidR="00EC10C8" w:rsidRPr="009D70C7">
        <w:rPr>
          <w:b/>
          <w:bCs/>
        </w:rPr>
        <w:t>)</w:t>
      </w:r>
      <w:r w:rsidR="00EC10C8" w:rsidRPr="009D70C7">
        <w:t xml:space="preserve"> información que se refiera a datos, estrategias operativas, manuales, planes, establecido en todo o en parte mediante cualquier tipo de soporte; </w:t>
      </w:r>
      <w:proofErr w:type="spellStart"/>
      <w:r w:rsidR="00EC10C8" w:rsidRPr="009D70C7">
        <w:rPr>
          <w:b/>
          <w:bCs/>
        </w:rPr>
        <w:t>iii</w:t>
      </w:r>
      <w:proofErr w:type="spellEnd"/>
      <w:r w:rsidR="00EC10C8" w:rsidRPr="009D70C7">
        <w:rPr>
          <w:b/>
          <w:bCs/>
        </w:rPr>
        <w:t>)</w:t>
      </w:r>
      <w:r w:rsidR="00EC10C8" w:rsidRPr="009D70C7">
        <w:t xml:space="preserve"> información relativa a proyectos, políticas en general, procedimientos, comunicaciones, informes, base de datos, ideas, conceptos, listados de proveedores y ciudadanos; </w:t>
      </w:r>
      <w:proofErr w:type="spellStart"/>
      <w:r w:rsidR="00EC10C8" w:rsidRPr="009D70C7">
        <w:t>i</w:t>
      </w:r>
      <w:r w:rsidR="00EC10C8" w:rsidRPr="009D70C7">
        <w:rPr>
          <w:b/>
          <w:bCs/>
        </w:rPr>
        <w:t>v</w:t>
      </w:r>
      <w:proofErr w:type="spellEnd"/>
      <w:r w:rsidR="00EC10C8" w:rsidRPr="009D70C7">
        <w:rPr>
          <w:b/>
          <w:bCs/>
        </w:rPr>
        <w:t>)</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w:t>
      </w:r>
      <w:proofErr w:type="gramStart"/>
      <w:r w:rsidR="00610CB4" w:rsidRPr="009D70C7">
        <w:t>del mismo</w:t>
      </w:r>
      <w:proofErr w:type="gramEnd"/>
      <w:r w:rsidR="00610CB4" w:rsidRPr="009D70C7">
        <w:t xml:space="preserve">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1"/>
    <w:bookmarkEnd w:id="6"/>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4F627A3D" w:rsidR="00B14005" w:rsidRPr="009D70C7" w:rsidRDefault="00B14005" w:rsidP="00942280">
      <w:pPr>
        <w:jc w:val="both"/>
        <w:rPr>
          <w:b/>
          <w:bCs/>
          <w:color w:val="C00000"/>
        </w:rPr>
      </w:pPr>
      <w:r w:rsidRPr="009D70C7">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s-ES"/>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s-E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51D2" w14:textId="77777777" w:rsidR="00AB3B99" w:rsidRDefault="00AB3B99" w:rsidP="00ED4BC0">
      <w:r>
        <w:separator/>
      </w:r>
    </w:p>
  </w:endnote>
  <w:endnote w:type="continuationSeparator" w:id="0">
    <w:p w14:paraId="063A6BFC" w14:textId="77777777" w:rsidR="00AB3B99" w:rsidRDefault="00AB3B99"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2498" w14:textId="77777777" w:rsidR="00AB3B99" w:rsidRDefault="00AB3B99" w:rsidP="00ED4BC0">
      <w:r>
        <w:separator/>
      </w:r>
    </w:p>
  </w:footnote>
  <w:footnote w:type="continuationSeparator" w:id="0">
    <w:p w14:paraId="023200A0" w14:textId="77777777" w:rsidR="00AB3B99" w:rsidRDefault="00AB3B99"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Textonotapie"/>
        <w:jc w:val="both"/>
      </w:pPr>
      <w:r w:rsidRPr="00361391">
        <w:rPr>
          <w:rStyle w:val="Refdenotaalpi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652825043">
    <w:abstractNumId w:val="15"/>
  </w:num>
  <w:num w:numId="2" w16cid:durableId="200938921">
    <w:abstractNumId w:val="10"/>
  </w:num>
  <w:num w:numId="3" w16cid:durableId="1206983242">
    <w:abstractNumId w:val="11"/>
  </w:num>
  <w:num w:numId="4" w16cid:durableId="1261836916">
    <w:abstractNumId w:val="4"/>
  </w:num>
  <w:num w:numId="5" w16cid:durableId="37708400">
    <w:abstractNumId w:val="3"/>
  </w:num>
  <w:num w:numId="6" w16cid:durableId="1862354218">
    <w:abstractNumId w:val="5"/>
  </w:num>
  <w:num w:numId="7" w16cid:durableId="216556650">
    <w:abstractNumId w:val="2"/>
  </w:num>
  <w:num w:numId="8" w16cid:durableId="1414205108">
    <w:abstractNumId w:val="7"/>
  </w:num>
  <w:num w:numId="9" w16cid:durableId="1561556822">
    <w:abstractNumId w:val="6"/>
  </w:num>
  <w:num w:numId="10" w16cid:durableId="2134401765">
    <w:abstractNumId w:val="1"/>
  </w:num>
  <w:num w:numId="11" w16cid:durableId="560479691">
    <w:abstractNumId w:val="16"/>
  </w:num>
  <w:num w:numId="12" w16cid:durableId="306327596">
    <w:abstractNumId w:val="13"/>
  </w:num>
  <w:num w:numId="13" w16cid:durableId="717361108">
    <w:abstractNumId w:val="17"/>
  </w:num>
  <w:num w:numId="14" w16cid:durableId="270205533">
    <w:abstractNumId w:val="8"/>
  </w:num>
  <w:num w:numId="15" w16cid:durableId="2116361074">
    <w:abstractNumId w:val="12"/>
  </w:num>
  <w:num w:numId="16" w16cid:durableId="1406538487">
    <w:abstractNumId w:val="9"/>
  </w:num>
  <w:num w:numId="17" w16cid:durableId="18824029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4B94"/>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B99"/>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B7601"/>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styleId="Mencinsinresolver">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10140</Words>
  <Characters>55775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WILLENA GOMEZ</cp:lastModifiedBy>
  <cp:revision>2</cp:revision>
  <cp:lastPrinted>2023-12-29T18:24:00Z</cp:lastPrinted>
  <dcterms:created xsi:type="dcterms:W3CDTF">2025-05-29T17:23:00Z</dcterms:created>
  <dcterms:modified xsi:type="dcterms:W3CDTF">2025-05-29T17:23:00Z</dcterms:modified>
</cp:coreProperties>
</file>